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82" w:rsidRDefault="00BC0882" w:rsidP="00BC088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 w:rsidRPr="00494EA4">
        <w:rPr>
          <w:sz w:val="28"/>
          <w:szCs w:val="28"/>
        </w:rPr>
        <w:t xml:space="preserve">6-05-0412-04  </w:t>
      </w:r>
      <w:r>
        <w:rPr>
          <w:sz w:val="28"/>
          <w:szCs w:val="28"/>
        </w:rPr>
        <w:t>«Маркетинг»</w:t>
      </w:r>
    </w:p>
    <w:p w:rsidR="00BC0882" w:rsidRDefault="00BC0882" w:rsidP="00BC0882">
      <w:pPr>
        <w:pStyle w:val="Default"/>
        <w:jc w:val="center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6521"/>
      </w:tblGrid>
      <w:tr w:rsidR="00BC0882" w:rsidRPr="009E20F8" w:rsidTr="00F63EDE">
        <w:trPr>
          <w:trHeight w:val="562"/>
        </w:trPr>
        <w:tc>
          <w:tcPr>
            <w:tcW w:w="3261" w:type="dxa"/>
          </w:tcPr>
          <w:p w:rsidR="00BC0882" w:rsidRPr="009E20F8" w:rsidRDefault="00BC0882" w:rsidP="00F63EDE">
            <w:pPr>
              <w:pStyle w:val="Default"/>
              <w:jc w:val="center"/>
            </w:pPr>
            <w:r w:rsidRPr="009E20F8">
              <w:t>Место дисциплины в структурной схеме образовательной программы</w:t>
            </w:r>
          </w:p>
        </w:tc>
        <w:tc>
          <w:tcPr>
            <w:tcW w:w="6521" w:type="dxa"/>
          </w:tcPr>
          <w:p w:rsidR="00BC0882" w:rsidRPr="009E20F8" w:rsidRDefault="00BC0882" w:rsidP="00F63EDE">
            <w:pPr>
              <w:pStyle w:val="Default"/>
              <w:jc w:val="center"/>
            </w:pPr>
            <w:r w:rsidRPr="009E20F8">
              <w:t>Краткая характеристика</w:t>
            </w:r>
          </w:p>
        </w:tc>
      </w:tr>
      <w:tr w:rsidR="00BC0882" w:rsidRPr="009E20F8" w:rsidTr="00F63EDE">
        <w:tc>
          <w:tcPr>
            <w:tcW w:w="3261" w:type="dxa"/>
          </w:tcPr>
          <w:p w:rsidR="00BC0882" w:rsidRPr="009E20F8" w:rsidRDefault="00BC0882" w:rsidP="00F63EDE">
            <w:pPr>
              <w:pStyle w:val="Default"/>
            </w:pPr>
            <w:r w:rsidRPr="009E20F8">
              <w:t xml:space="preserve">Название учебной дисциплины (модуля) </w:t>
            </w:r>
          </w:p>
        </w:tc>
        <w:tc>
          <w:tcPr>
            <w:tcW w:w="6521" w:type="dxa"/>
          </w:tcPr>
          <w:p w:rsidR="00BC0882" w:rsidRPr="009E20F8" w:rsidRDefault="00BC0882" w:rsidP="00F63EDE">
            <w:pPr>
              <w:pStyle w:val="Default"/>
              <w:rPr>
                <w:b/>
              </w:rPr>
            </w:pPr>
            <w:r w:rsidRPr="009E20F8">
              <w:rPr>
                <w:b/>
              </w:rPr>
              <w:t>Интегрированные маркетинговые коммуникации</w:t>
            </w:r>
          </w:p>
        </w:tc>
      </w:tr>
      <w:tr w:rsidR="00BC0882" w:rsidRPr="009E20F8" w:rsidTr="00F63EDE">
        <w:tc>
          <w:tcPr>
            <w:tcW w:w="3261" w:type="dxa"/>
          </w:tcPr>
          <w:p w:rsidR="00BC0882" w:rsidRPr="009E20F8" w:rsidRDefault="00BC0882" w:rsidP="00F63EDE">
            <w:pPr>
              <w:pStyle w:val="Default"/>
            </w:pPr>
            <w:r w:rsidRPr="009E20F8">
              <w:t>Краткое содержание</w:t>
            </w:r>
          </w:p>
        </w:tc>
        <w:tc>
          <w:tcPr>
            <w:tcW w:w="6521" w:type="dxa"/>
          </w:tcPr>
          <w:p w:rsidR="00BC0882" w:rsidRPr="009E20F8" w:rsidRDefault="00BC0882" w:rsidP="00BC0882">
            <w:pPr>
              <w:pStyle w:val="Default"/>
              <w:jc w:val="both"/>
            </w:pPr>
            <w:proofErr w:type="gramStart"/>
            <w:r w:rsidRPr="009E20F8">
              <w:t>Теоретические основы интегрированных маркетинговых коммуникаций, внешние условия реализации интегрированных коммуникаций, основы планирования коммуникативной деятельности, типы сообщений и инструменты маркетинговых коммуникаций, реклама как базовая составляющая комплекса маркетинговых коммуникаций,</w:t>
            </w:r>
            <w:r w:rsidRPr="009E20F8">
              <w:rPr>
                <w:snapToGrid w:val="0"/>
              </w:rPr>
              <w:t xml:space="preserve"> связи с общественностью как основа </w:t>
            </w:r>
            <w:proofErr w:type="spellStart"/>
            <w:r w:rsidRPr="009E20F8">
              <w:rPr>
                <w:snapToGrid w:val="0"/>
              </w:rPr>
              <w:t>клиентоориентированного</w:t>
            </w:r>
            <w:proofErr w:type="spellEnd"/>
            <w:r w:rsidRPr="009E20F8">
              <w:rPr>
                <w:snapToGrid w:val="0"/>
              </w:rPr>
              <w:t xml:space="preserve"> подхода в системе маркетинговых коммуникациях,</w:t>
            </w:r>
            <w:r w:rsidRPr="009E20F8">
              <w:rPr>
                <w:bCs/>
              </w:rPr>
              <w:t xml:space="preserve"> стимулирование сбыта, прямой маркетинг и личные продажи в системе маркетинговых коммуникаций, фирменный стиль и </w:t>
            </w:r>
            <w:proofErr w:type="spellStart"/>
            <w:r w:rsidRPr="009E20F8">
              <w:rPr>
                <w:bCs/>
              </w:rPr>
              <w:t>брендинг</w:t>
            </w:r>
            <w:proofErr w:type="spellEnd"/>
            <w:r w:rsidRPr="009E20F8">
              <w:rPr>
                <w:bCs/>
              </w:rPr>
              <w:t xml:space="preserve"> как основа коммуникаций в гибком маркетинге</w:t>
            </w:r>
            <w:r w:rsidRPr="009E20F8">
              <w:t>, основные</w:t>
            </w:r>
            <w:proofErr w:type="gramEnd"/>
            <w:r w:rsidRPr="009E20F8">
              <w:t xml:space="preserve"> каналы маркетинговых коммуникаций, психологический и социальный аспект интегрированных коммуникаций, инновационные маркетинговые технологии и инструменты продвижения, организационно-технологические инновации в интегрированных маркетинговых коммуникациях, управление маркетинговыми коммуникациями, </w:t>
            </w:r>
            <w:proofErr w:type="spellStart"/>
            <w:r w:rsidRPr="009E20F8">
              <w:t>системодополняющее</w:t>
            </w:r>
            <w:proofErr w:type="spellEnd"/>
            <w:r w:rsidRPr="009E20F8">
              <w:t xml:space="preserve"> взаимодействие элементов интегрированных маркетинговых коммуникаций.</w:t>
            </w:r>
          </w:p>
        </w:tc>
      </w:tr>
      <w:tr w:rsidR="00BC0882" w:rsidRPr="009E20F8" w:rsidTr="00F63EDE">
        <w:trPr>
          <w:trHeight w:val="1679"/>
        </w:trPr>
        <w:tc>
          <w:tcPr>
            <w:tcW w:w="3261" w:type="dxa"/>
          </w:tcPr>
          <w:p w:rsidR="00BC0882" w:rsidRPr="009E20F8" w:rsidRDefault="00BC0882" w:rsidP="00BC0882">
            <w:pPr>
              <w:pStyle w:val="Default"/>
            </w:pPr>
            <w:r w:rsidRPr="009E20F8">
              <w:t>Формируемые компетенции</w:t>
            </w:r>
          </w:p>
        </w:tc>
        <w:tc>
          <w:tcPr>
            <w:tcW w:w="6521" w:type="dxa"/>
          </w:tcPr>
          <w:p w:rsidR="00BC0882" w:rsidRPr="009E20F8" w:rsidRDefault="00BC0882" w:rsidP="00BC088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E20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Базовая профессиональная компетенция:</w:t>
            </w:r>
          </w:p>
          <w:p w:rsidR="00BC0882" w:rsidRPr="009E20F8" w:rsidRDefault="00BC0882" w:rsidP="00BC0882">
            <w:pPr>
              <w:pStyle w:val="Default"/>
              <w:jc w:val="both"/>
              <w:rPr>
                <w:color w:val="auto"/>
              </w:rPr>
            </w:pPr>
            <w:r w:rsidRPr="009E20F8">
              <w:t>универсальных: быть способным к саморазвитию и совершенствованию в профессиональной деятельности; проявлять инициативу и адаптироваться к изменениям в профессиональной деятельности; базовой профессиональной: в</w:t>
            </w:r>
            <w:r w:rsidRPr="009E20F8">
              <w:rPr>
                <w:color w:val="auto"/>
              </w:rPr>
              <w:t xml:space="preserve">недрять систему интегрированных маркетинговых коммуникаций в деятельность организации, реализовывать эффективное продвижение товаров и услуг на рынке, планировать тактические и стратегические программы интегрированных маркетинговых коммуникаций. </w:t>
            </w:r>
          </w:p>
        </w:tc>
      </w:tr>
      <w:tr w:rsidR="00BC0882" w:rsidRPr="009E20F8" w:rsidTr="00F63EDE">
        <w:tc>
          <w:tcPr>
            <w:tcW w:w="3261" w:type="dxa"/>
          </w:tcPr>
          <w:p w:rsidR="00BC0882" w:rsidRPr="009E20F8" w:rsidRDefault="00BC0882" w:rsidP="00F63EDE">
            <w:pPr>
              <w:pStyle w:val="Default"/>
            </w:pPr>
            <w:r w:rsidRPr="009E20F8">
              <w:t>Результаты обучения (знать, уметь, иметь навыки)</w:t>
            </w:r>
          </w:p>
        </w:tc>
        <w:tc>
          <w:tcPr>
            <w:tcW w:w="6521" w:type="dxa"/>
          </w:tcPr>
          <w:p w:rsidR="00BC0882" w:rsidRPr="009E20F8" w:rsidRDefault="00BC0882" w:rsidP="00BC0882">
            <w:pPr>
              <w:pStyle w:val="Default"/>
              <w:ind w:firstLine="317"/>
              <w:jc w:val="both"/>
              <w:rPr>
                <w:color w:val="auto"/>
              </w:rPr>
            </w:pPr>
            <w:r w:rsidRPr="009E20F8">
              <w:rPr>
                <w:b/>
                <w:i/>
                <w:iCs/>
                <w:color w:val="auto"/>
              </w:rPr>
              <w:t xml:space="preserve">Знать: </w:t>
            </w:r>
            <w:r w:rsidRPr="009E20F8">
              <w:rPr>
                <w:color w:val="auto"/>
              </w:rPr>
              <w:t xml:space="preserve">сущность, эволюцию, инструменты и законодательные акты в области интегрированных маркетинговых коммуникаций; методы и инструменты разработки и обоснования </w:t>
            </w:r>
            <w:proofErr w:type="spellStart"/>
            <w:proofErr w:type="gramStart"/>
            <w:r w:rsidRPr="009E20F8">
              <w:rPr>
                <w:color w:val="auto"/>
              </w:rPr>
              <w:t>бизнес-проектов</w:t>
            </w:r>
            <w:proofErr w:type="spellEnd"/>
            <w:proofErr w:type="gramEnd"/>
            <w:r w:rsidRPr="009E20F8">
              <w:rPr>
                <w:color w:val="auto"/>
              </w:rPr>
              <w:t xml:space="preserve"> интегрированной маркетинговой коммуникационной кампании, обеспечивающую эффективную коммерческую деятельность;  маркетинговые инструменты экономического обоснования управленческих решений по реализации </w:t>
            </w:r>
            <w:proofErr w:type="spellStart"/>
            <w:r w:rsidRPr="009E20F8">
              <w:rPr>
                <w:color w:val="auto"/>
              </w:rPr>
              <w:t>бизнес-проекта</w:t>
            </w:r>
            <w:proofErr w:type="spellEnd"/>
            <w:r w:rsidRPr="009E20F8">
              <w:rPr>
                <w:color w:val="auto"/>
              </w:rPr>
              <w:t xml:space="preserve"> интегрированной маркетинговой коммуникационной кампании с учетом факторов риска. </w:t>
            </w:r>
            <w:r w:rsidRPr="009E20F8">
              <w:rPr>
                <w:b/>
                <w:i/>
                <w:color w:val="auto"/>
              </w:rPr>
              <w:t>У</w:t>
            </w:r>
            <w:r w:rsidRPr="009E20F8">
              <w:rPr>
                <w:b/>
                <w:i/>
                <w:iCs/>
                <w:color w:val="auto"/>
              </w:rPr>
              <w:t>меть:</w:t>
            </w:r>
            <w:r w:rsidRPr="009E20F8">
              <w:rPr>
                <w:i/>
                <w:iCs/>
                <w:color w:val="auto"/>
              </w:rPr>
              <w:t xml:space="preserve"> </w:t>
            </w:r>
            <w:r w:rsidRPr="009E20F8">
              <w:rPr>
                <w:color w:val="auto"/>
              </w:rPr>
              <w:t xml:space="preserve">давать оценку эффективности использования основных инструментов интегрированных маркетинговых коммуникаций для снижения риска при реализации проектов; разрабатывать комплекс мер по адаптации </w:t>
            </w:r>
            <w:r w:rsidRPr="009E20F8">
              <w:rPr>
                <w:color w:val="auto"/>
              </w:rPr>
              <w:lastRenderedPageBreak/>
              <w:t xml:space="preserve">интегрированных маркетинговых коммуникаций в бизнесе к изменениям внешней и внутренней среды; рассчитывать комплексную экономическую эффективность проектов по развитию интегрированных маркетинговых коммуникаций.  </w:t>
            </w:r>
            <w:r w:rsidRPr="009E20F8">
              <w:rPr>
                <w:b/>
                <w:i/>
                <w:iCs/>
                <w:color w:val="auto"/>
              </w:rPr>
              <w:t xml:space="preserve">Владеть: </w:t>
            </w:r>
            <w:r w:rsidRPr="009E20F8">
              <w:rPr>
                <w:color w:val="auto"/>
              </w:rPr>
              <w:t xml:space="preserve">навыками проведения интегрированной маркетинговой коммуникационной кампании; методами анализа экономической эффективности интегрированных маркетинговых коммуникаций в бизнесе; навыками презентации учебных проектов; навыками групповой работы. </w:t>
            </w:r>
          </w:p>
        </w:tc>
      </w:tr>
      <w:tr w:rsidR="00BC0882" w:rsidRPr="009E20F8" w:rsidTr="00F63EDE">
        <w:tc>
          <w:tcPr>
            <w:tcW w:w="3261" w:type="dxa"/>
          </w:tcPr>
          <w:p w:rsidR="00BC0882" w:rsidRPr="009E20F8" w:rsidRDefault="00BC0882" w:rsidP="00F63EDE">
            <w:pPr>
              <w:pStyle w:val="Default"/>
            </w:pPr>
            <w:r w:rsidRPr="009E20F8">
              <w:lastRenderedPageBreak/>
              <w:t>Семестр изучения</w:t>
            </w:r>
          </w:p>
        </w:tc>
        <w:tc>
          <w:tcPr>
            <w:tcW w:w="6521" w:type="dxa"/>
          </w:tcPr>
          <w:p w:rsidR="00BC0882" w:rsidRPr="009E20F8" w:rsidRDefault="00BC0882" w:rsidP="00F63EDE">
            <w:pPr>
              <w:pStyle w:val="Default"/>
            </w:pPr>
            <w:r w:rsidRPr="009E20F8">
              <w:t>4 и 5</w:t>
            </w:r>
          </w:p>
        </w:tc>
      </w:tr>
      <w:tr w:rsidR="00BC0882" w:rsidRPr="009E20F8" w:rsidTr="00F63EDE">
        <w:tc>
          <w:tcPr>
            <w:tcW w:w="3261" w:type="dxa"/>
          </w:tcPr>
          <w:p w:rsidR="00BC0882" w:rsidRPr="009E20F8" w:rsidRDefault="00BC0882" w:rsidP="00F63EDE">
            <w:pPr>
              <w:pStyle w:val="Default"/>
            </w:pPr>
            <w:proofErr w:type="spellStart"/>
            <w:r w:rsidRPr="009E20F8">
              <w:t>Прекреквизиты</w:t>
            </w:r>
            <w:proofErr w:type="spellEnd"/>
          </w:p>
        </w:tc>
        <w:tc>
          <w:tcPr>
            <w:tcW w:w="6521" w:type="dxa"/>
          </w:tcPr>
          <w:p w:rsidR="00BC0882" w:rsidRPr="009E20F8" w:rsidRDefault="00BC0882" w:rsidP="00F63EDE">
            <w:pPr>
              <w:pStyle w:val="Default"/>
              <w:rPr>
                <w:b/>
                <w:i/>
              </w:rPr>
            </w:pPr>
            <w:r w:rsidRPr="009E20F8">
              <w:t xml:space="preserve"> «Маркетинг услуг», «Маркетинг некоммерческих организаций», «Маркетинг в промышленности», «Маркетинг в торговле», «Управление коммерческим риском».</w:t>
            </w:r>
          </w:p>
        </w:tc>
      </w:tr>
      <w:tr w:rsidR="00BC0882" w:rsidRPr="009E20F8" w:rsidTr="00F63EDE">
        <w:trPr>
          <w:trHeight w:val="884"/>
        </w:trPr>
        <w:tc>
          <w:tcPr>
            <w:tcW w:w="3261" w:type="dxa"/>
          </w:tcPr>
          <w:p w:rsidR="00BC0882" w:rsidRPr="009E20F8" w:rsidRDefault="00BC0882" w:rsidP="00F63EDE">
            <w:pPr>
              <w:pStyle w:val="Default"/>
            </w:pPr>
            <w:r w:rsidRPr="009E20F8">
              <w:t>Трудоёмкость в зачетных единицах (кредитах).</w:t>
            </w:r>
          </w:p>
          <w:p w:rsidR="00BC0882" w:rsidRPr="009E20F8" w:rsidRDefault="00BC0882" w:rsidP="00F63EDE">
            <w:pPr>
              <w:pStyle w:val="Default"/>
            </w:pPr>
            <w:r w:rsidRPr="009E20F8">
              <w:t>Количество часов</w:t>
            </w:r>
          </w:p>
        </w:tc>
        <w:tc>
          <w:tcPr>
            <w:tcW w:w="6521" w:type="dxa"/>
          </w:tcPr>
          <w:p w:rsidR="00BC0882" w:rsidRPr="009E20F8" w:rsidRDefault="00BC0882" w:rsidP="00F63EDE">
            <w:pPr>
              <w:pStyle w:val="Default"/>
            </w:pPr>
            <w:r w:rsidRPr="009E20F8">
              <w:t>6 зачетных единиц.</w:t>
            </w:r>
          </w:p>
          <w:p w:rsidR="00BC0882" w:rsidRPr="009E20F8" w:rsidRDefault="00BC0882" w:rsidP="00F63EDE">
            <w:pPr>
              <w:pStyle w:val="Default"/>
            </w:pPr>
            <w:r w:rsidRPr="009E20F8">
              <w:t>Всего часов – 240, из них: аудиторных часов  - 130, часов самостоятельной работы – 110</w:t>
            </w:r>
          </w:p>
        </w:tc>
      </w:tr>
      <w:tr w:rsidR="00BC0882" w:rsidRPr="009E20F8" w:rsidTr="00F63EDE">
        <w:tc>
          <w:tcPr>
            <w:tcW w:w="3261" w:type="dxa"/>
          </w:tcPr>
          <w:p w:rsidR="00BC0882" w:rsidRPr="009E20F8" w:rsidRDefault="00BC0882" w:rsidP="00F63EDE">
            <w:pPr>
              <w:pStyle w:val="Default"/>
            </w:pPr>
            <w:r w:rsidRPr="009E20F8">
              <w:t>Требования к текущей аттестации, ее формы</w:t>
            </w:r>
          </w:p>
        </w:tc>
        <w:tc>
          <w:tcPr>
            <w:tcW w:w="6521" w:type="dxa"/>
          </w:tcPr>
          <w:p w:rsidR="00BC0882" w:rsidRPr="009E20F8" w:rsidRDefault="00BC0882" w:rsidP="00F63EDE">
            <w:pPr>
              <w:pStyle w:val="Default"/>
              <w:rPr>
                <w:b/>
                <w:i/>
              </w:rPr>
            </w:pPr>
            <w:r w:rsidRPr="009E20F8">
              <w:t>Текущая аттестация проводится один раз в семестр в форме выполнения учебного задания</w:t>
            </w:r>
          </w:p>
        </w:tc>
      </w:tr>
      <w:tr w:rsidR="00BC0882" w:rsidRPr="009E20F8" w:rsidTr="00F63EDE">
        <w:tc>
          <w:tcPr>
            <w:tcW w:w="3261" w:type="dxa"/>
          </w:tcPr>
          <w:p w:rsidR="00BC0882" w:rsidRPr="009E20F8" w:rsidRDefault="00BC0882" w:rsidP="00F63EDE">
            <w:pPr>
              <w:pStyle w:val="Default"/>
            </w:pPr>
            <w:r w:rsidRPr="009E20F8">
              <w:t>Требования к промежуточной аттестации, ее формы</w:t>
            </w:r>
          </w:p>
        </w:tc>
        <w:tc>
          <w:tcPr>
            <w:tcW w:w="6521" w:type="dxa"/>
          </w:tcPr>
          <w:p w:rsidR="00BC0882" w:rsidRPr="009E20F8" w:rsidRDefault="00BC0882" w:rsidP="00F63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0F8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 зачет (4 семестр), экзамен (5 семестр).</w:t>
            </w:r>
          </w:p>
          <w:p w:rsidR="00BC0882" w:rsidRPr="009E20F8" w:rsidRDefault="00BC0882" w:rsidP="00F63EDE">
            <w:pPr>
              <w:pStyle w:val="Default"/>
              <w:rPr>
                <w:b/>
                <w:i/>
              </w:rPr>
            </w:pPr>
            <w:r w:rsidRPr="009E20F8">
              <w:t>Обучающиеся допускаются к сдаче</w:t>
            </w:r>
            <w:r w:rsidR="009E20F8" w:rsidRPr="009E20F8">
              <w:t xml:space="preserve"> зачета и </w:t>
            </w:r>
            <w:r w:rsidRPr="009E20F8">
              <w:t>экзамена по учебной дисциплине при условии успешного прохождения текущей аттестации в</w:t>
            </w:r>
            <w:r w:rsidR="009E20F8" w:rsidRPr="009E20F8">
              <w:t xml:space="preserve"> 4 и</w:t>
            </w:r>
            <w:r w:rsidRPr="009E20F8">
              <w:t xml:space="preserve"> 5 семестре.</w:t>
            </w:r>
          </w:p>
        </w:tc>
      </w:tr>
    </w:tbl>
    <w:p w:rsidR="00BC0882" w:rsidRDefault="00BC0882" w:rsidP="00BC0882"/>
    <w:p w:rsidR="00BC0882" w:rsidRDefault="00BC0882" w:rsidP="00BC0882"/>
    <w:p w:rsidR="00BC0882" w:rsidRDefault="00BC0882" w:rsidP="00BC0882"/>
    <w:p w:rsidR="00DF197B" w:rsidRDefault="00DF197B"/>
    <w:sectPr w:rsidR="00DF197B" w:rsidSect="00F0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C0882"/>
    <w:rsid w:val="009E20F8"/>
    <w:rsid w:val="00BC0882"/>
    <w:rsid w:val="00DF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C08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k410Note</dc:creator>
  <cp:lastModifiedBy>k410Note</cp:lastModifiedBy>
  <cp:revision>1</cp:revision>
  <dcterms:created xsi:type="dcterms:W3CDTF">2026-03-04T09:11:00Z</dcterms:created>
  <dcterms:modified xsi:type="dcterms:W3CDTF">2026-03-04T09:22:00Z</dcterms:modified>
</cp:coreProperties>
</file>