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0B0A2" w14:textId="5D46FAD3" w:rsidR="00CA73BC" w:rsidRPr="00E72529" w:rsidRDefault="00CA73BC" w:rsidP="00CA73BC">
      <w:pPr>
        <w:pStyle w:val="Default"/>
        <w:jc w:val="center"/>
        <w:rPr>
          <w:b/>
        </w:rPr>
      </w:pPr>
      <w:proofErr w:type="gramStart"/>
      <w:r w:rsidRPr="00E72529">
        <w:rPr>
          <w:b/>
        </w:rPr>
        <w:t>Специальность</w:t>
      </w:r>
      <w:r w:rsidR="00BB7238">
        <w:rPr>
          <w:b/>
        </w:rPr>
        <w:t xml:space="preserve"> </w:t>
      </w:r>
      <w:r w:rsidR="00BB7238" w:rsidRPr="00BB7238">
        <w:rPr>
          <w:b/>
        </w:rPr>
        <w:t xml:space="preserve"> 7</w:t>
      </w:r>
      <w:proofErr w:type="gramEnd"/>
      <w:r w:rsidR="00BB7238" w:rsidRPr="00BB7238">
        <w:rPr>
          <w:b/>
        </w:rPr>
        <w:t>-06-0414-01  Государственное управление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830"/>
        <w:gridCol w:w="7626"/>
      </w:tblGrid>
      <w:tr w:rsidR="00CA73BC" w:rsidRPr="00D0404B" w14:paraId="1C3569C3" w14:textId="77777777" w:rsidTr="00CE0C50">
        <w:trPr>
          <w:trHeight w:val="562"/>
        </w:trPr>
        <w:tc>
          <w:tcPr>
            <w:tcW w:w="2830" w:type="dxa"/>
          </w:tcPr>
          <w:p w14:paraId="21951B08" w14:textId="77777777" w:rsidR="00CA73BC" w:rsidRPr="00D0404B" w:rsidRDefault="00CA73BC" w:rsidP="00300AA4">
            <w:pPr>
              <w:pStyle w:val="Default"/>
              <w:jc w:val="center"/>
            </w:pPr>
            <w:r w:rsidRPr="00D0404B">
              <w:t>Место дисциплины в структурной схеме образовательной программы</w:t>
            </w:r>
          </w:p>
        </w:tc>
        <w:tc>
          <w:tcPr>
            <w:tcW w:w="7626" w:type="dxa"/>
          </w:tcPr>
          <w:p w14:paraId="703AD61F" w14:textId="77777777" w:rsidR="00CA73BC" w:rsidRPr="00D0404B" w:rsidRDefault="00CA73BC" w:rsidP="00300AA4">
            <w:pPr>
              <w:pStyle w:val="Default"/>
              <w:jc w:val="center"/>
            </w:pPr>
            <w:r w:rsidRPr="00D0404B">
              <w:t>Краткая характеристика</w:t>
            </w:r>
          </w:p>
        </w:tc>
      </w:tr>
      <w:tr w:rsidR="00CA73BC" w:rsidRPr="00D0404B" w14:paraId="2B52DFD9" w14:textId="77777777" w:rsidTr="00CE0C50">
        <w:tc>
          <w:tcPr>
            <w:tcW w:w="2830" w:type="dxa"/>
          </w:tcPr>
          <w:p w14:paraId="4827131D" w14:textId="77777777" w:rsidR="00CA73BC" w:rsidRPr="00D0404B" w:rsidRDefault="00CA73BC" w:rsidP="00300AA4">
            <w:pPr>
              <w:pStyle w:val="Default"/>
            </w:pPr>
            <w:r w:rsidRPr="00D0404B">
              <w:t xml:space="preserve">Название учебной дисциплины (модуля) </w:t>
            </w:r>
          </w:p>
        </w:tc>
        <w:tc>
          <w:tcPr>
            <w:tcW w:w="7626" w:type="dxa"/>
          </w:tcPr>
          <w:p w14:paraId="1E151EFF" w14:textId="36174FD6" w:rsidR="00CA73BC" w:rsidRPr="00D0404B" w:rsidRDefault="00BB7238" w:rsidP="00300AA4">
            <w:pPr>
              <w:pStyle w:val="Default"/>
              <w:rPr>
                <w:b/>
              </w:rPr>
            </w:pPr>
            <w:r>
              <w:rPr>
                <w:b/>
              </w:rPr>
              <w:t>Управление устойчивым развитием региона</w:t>
            </w:r>
          </w:p>
        </w:tc>
      </w:tr>
      <w:tr w:rsidR="00CA73BC" w:rsidRPr="00D0404B" w14:paraId="79E2BEBF" w14:textId="77777777" w:rsidTr="00CE0C50">
        <w:tc>
          <w:tcPr>
            <w:tcW w:w="2830" w:type="dxa"/>
          </w:tcPr>
          <w:p w14:paraId="25625F0D" w14:textId="77777777" w:rsidR="00CA73BC" w:rsidRPr="00D0404B" w:rsidRDefault="00CA73BC" w:rsidP="00300AA4">
            <w:pPr>
              <w:pStyle w:val="Default"/>
            </w:pPr>
            <w:r w:rsidRPr="00D0404B">
              <w:t>Краткое содержание</w:t>
            </w:r>
          </w:p>
        </w:tc>
        <w:tc>
          <w:tcPr>
            <w:tcW w:w="7626" w:type="dxa"/>
          </w:tcPr>
          <w:p w14:paraId="49E539AF" w14:textId="67C3E5A8" w:rsidR="00CA73BC" w:rsidRPr="00D0404B" w:rsidRDefault="00A01275" w:rsidP="00A0127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01275">
              <w:rPr>
                <w:rFonts w:ascii="Times New Roman" w:hAnsi="Times New Roman" w:cs="Times New Roman"/>
                <w:iCs/>
              </w:rPr>
              <w:t>Теоретические основы концепции устойчивого развития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A01275">
              <w:rPr>
                <w:rFonts w:ascii="Times New Roman" w:hAnsi="Times New Roman" w:cs="Times New Roman"/>
                <w:iCs/>
              </w:rPr>
              <w:t>Институциональные основы устойчивого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01275">
              <w:rPr>
                <w:rFonts w:ascii="Times New Roman" w:hAnsi="Times New Roman" w:cs="Times New Roman"/>
                <w:iCs/>
              </w:rPr>
              <w:t>развития региона.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01275">
              <w:rPr>
                <w:rFonts w:ascii="Times New Roman" w:hAnsi="Times New Roman" w:cs="Times New Roman"/>
                <w:iCs/>
              </w:rPr>
              <w:t>Модели стратегий устойчивого развития региона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A01275">
              <w:rPr>
                <w:rFonts w:ascii="Times New Roman" w:hAnsi="Times New Roman" w:cs="Times New Roman"/>
                <w:iCs/>
              </w:rPr>
              <w:t>Экологические меры реализации концепции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01275">
              <w:rPr>
                <w:rFonts w:ascii="Times New Roman" w:hAnsi="Times New Roman" w:cs="Times New Roman"/>
                <w:iCs/>
              </w:rPr>
              <w:t>устойчивого развития региона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A01275">
              <w:rPr>
                <w:rFonts w:ascii="Times New Roman" w:hAnsi="Times New Roman" w:cs="Times New Roman"/>
                <w:iCs/>
              </w:rPr>
              <w:t>Социальные меры реализации концепции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01275">
              <w:rPr>
                <w:rFonts w:ascii="Times New Roman" w:hAnsi="Times New Roman" w:cs="Times New Roman"/>
                <w:iCs/>
              </w:rPr>
              <w:t>устойчивого развития региона</w:t>
            </w:r>
            <w:r>
              <w:rPr>
                <w:rFonts w:ascii="Times New Roman" w:hAnsi="Times New Roman" w:cs="Times New Roman"/>
                <w:iCs/>
              </w:rPr>
              <w:t>. Э</w:t>
            </w:r>
            <w:r w:rsidRPr="00A01275">
              <w:rPr>
                <w:rFonts w:ascii="Times New Roman" w:hAnsi="Times New Roman" w:cs="Times New Roman"/>
                <w:iCs/>
              </w:rPr>
              <w:t>кономические меры реализации концепции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01275">
              <w:rPr>
                <w:rFonts w:ascii="Times New Roman" w:hAnsi="Times New Roman" w:cs="Times New Roman"/>
                <w:iCs/>
              </w:rPr>
              <w:t>устойчивого развития региона. Зарубежный опыт реализации концепции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01275">
              <w:rPr>
                <w:rFonts w:ascii="Times New Roman" w:hAnsi="Times New Roman" w:cs="Times New Roman"/>
                <w:iCs/>
              </w:rPr>
              <w:t>устойчивого развития региона. Реализация концепции устойчивого развития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01275">
              <w:rPr>
                <w:rFonts w:ascii="Times New Roman" w:hAnsi="Times New Roman" w:cs="Times New Roman"/>
                <w:iCs/>
              </w:rPr>
              <w:t>в Республике Беларусь</w:t>
            </w:r>
          </w:p>
        </w:tc>
      </w:tr>
      <w:tr w:rsidR="00CA73BC" w:rsidRPr="00D0404B" w14:paraId="2A967687" w14:textId="77777777" w:rsidTr="00CE0C50">
        <w:tc>
          <w:tcPr>
            <w:tcW w:w="2830" w:type="dxa"/>
          </w:tcPr>
          <w:p w14:paraId="0ABC8CDE" w14:textId="77777777" w:rsidR="00CA73BC" w:rsidRPr="00D0404B" w:rsidRDefault="00CA73BC" w:rsidP="00300AA4">
            <w:pPr>
              <w:pStyle w:val="Default"/>
            </w:pPr>
            <w:r w:rsidRPr="00D0404B">
              <w:t>Формируемые компетенции</w:t>
            </w:r>
          </w:p>
        </w:tc>
        <w:tc>
          <w:tcPr>
            <w:tcW w:w="7626" w:type="dxa"/>
          </w:tcPr>
          <w:p w14:paraId="621A6B62" w14:textId="680EEF91" w:rsidR="00736119" w:rsidRPr="00AB1843" w:rsidRDefault="00674F16" w:rsidP="00AB18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F1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674F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знать теоретические основы и прикладные инструменты управления устойчивым развитием социально-экономических систем регионального уровня</w:t>
            </w:r>
          </w:p>
        </w:tc>
      </w:tr>
      <w:tr w:rsidR="00CA73BC" w:rsidRPr="00D0404B" w14:paraId="25E33353" w14:textId="77777777" w:rsidTr="00CE0C50">
        <w:tc>
          <w:tcPr>
            <w:tcW w:w="2830" w:type="dxa"/>
          </w:tcPr>
          <w:p w14:paraId="694DF068" w14:textId="77777777" w:rsidR="00CA73BC" w:rsidRPr="00D0404B" w:rsidRDefault="00CA73BC" w:rsidP="00300AA4">
            <w:pPr>
              <w:pStyle w:val="Default"/>
            </w:pPr>
            <w:r w:rsidRPr="00D0404B">
              <w:t>Результаты обучения (знать, уметь, иметь навыки)</w:t>
            </w:r>
          </w:p>
        </w:tc>
        <w:tc>
          <w:tcPr>
            <w:tcW w:w="7626" w:type="dxa"/>
          </w:tcPr>
          <w:p w14:paraId="6E0CBE0A" w14:textId="77777777" w:rsidR="00CA73BC" w:rsidRPr="00D0404B" w:rsidRDefault="00CA73BC" w:rsidP="00300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изучения учебной дисциплины студенты должны:</w:t>
            </w:r>
          </w:p>
          <w:p w14:paraId="0E451770" w14:textId="7E4B1B07" w:rsidR="00B4645D" w:rsidRPr="00B4645D" w:rsidRDefault="00B4645D" w:rsidP="00B464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4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</w:t>
            </w:r>
            <w:r w:rsidRPr="00B4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сущность, цели и задачи концепции устойчивого развития;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предмет, методы, экономические категории и инструменты реализации концептуальных положений устойчивого эколого-экономического развития.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и особенности формирования институционального механизма реализации концепции устойчивого развития стран с трансформационной экономикой;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реализации концепции устойчивого развития за рубежом, в странах СНГ и в Республике Беларусь;</w:t>
            </w:r>
          </w:p>
          <w:p w14:paraId="493312E8" w14:textId="792FC5B7" w:rsidR="00B4645D" w:rsidRPr="00B4645D" w:rsidRDefault="00B4645D" w:rsidP="00B464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4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4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 и грамотно оперировать полученными знаниями и применять их для исследования основ устойчивого эколого-экономического развития;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эффективность реализации концепции устойчивого развития в странах с трансформационной экономикой;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проблемы реализации экономических, экологических и социальных мер устойчивого развития стран с трансформационной экономикой;</w:t>
            </w:r>
          </w:p>
          <w:p w14:paraId="79E373ED" w14:textId="1EFF16D3" w:rsidR="00CA73BC" w:rsidRPr="00D0404B" w:rsidRDefault="00B4645D" w:rsidP="00B464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45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владеть:</w:t>
            </w:r>
            <w:r w:rsidRPr="00B4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систематизации мер государственной политики в сфере устойчивого развития;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анализа результативности реализации экономических, экологических и социальных мер устойчивого развития стран с трансформационной экономикой;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6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обоснования рациональности использования национальных механизмов устойчивого развития.</w:t>
            </w:r>
          </w:p>
        </w:tc>
      </w:tr>
      <w:tr w:rsidR="00CA73BC" w:rsidRPr="00D0404B" w14:paraId="21CB051D" w14:textId="77777777" w:rsidTr="00CE0C50">
        <w:tc>
          <w:tcPr>
            <w:tcW w:w="2830" w:type="dxa"/>
          </w:tcPr>
          <w:p w14:paraId="1834C41B" w14:textId="77777777" w:rsidR="00CA73BC" w:rsidRPr="00D0404B" w:rsidRDefault="00CA73BC" w:rsidP="00300AA4">
            <w:pPr>
              <w:pStyle w:val="Default"/>
            </w:pPr>
            <w:r w:rsidRPr="00D0404B">
              <w:t>Семестр изучения</w:t>
            </w:r>
          </w:p>
        </w:tc>
        <w:tc>
          <w:tcPr>
            <w:tcW w:w="7626" w:type="dxa"/>
          </w:tcPr>
          <w:p w14:paraId="3B540831" w14:textId="428C7F2B" w:rsidR="00CA73BC" w:rsidRPr="00D0404B" w:rsidRDefault="00215F6B" w:rsidP="00300AA4">
            <w:pPr>
              <w:pStyle w:val="Default"/>
            </w:pPr>
            <w:r>
              <w:t>2</w:t>
            </w:r>
          </w:p>
        </w:tc>
      </w:tr>
      <w:tr w:rsidR="00CA73BC" w:rsidRPr="00D0404B" w14:paraId="75AB043E" w14:textId="77777777" w:rsidTr="00CE0C50">
        <w:tc>
          <w:tcPr>
            <w:tcW w:w="2830" w:type="dxa"/>
          </w:tcPr>
          <w:p w14:paraId="048FDDB0" w14:textId="77777777" w:rsidR="00CA73BC" w:rsidRPr="00D0404B" w:rsidRDefault="00CA73BC" w:rsidP="00300AA4">
            <w:pPr>
              <w:pStyle w:val="Default"/>
            </w:pPr>
            <w:proofErr w:type="spellStart"/>
            <w:r w:rsidRPr="00D0404B">
              <w:t>Прекреквизиты</w:t>
            </w:r>
            <w:proofErr w:type="spellEnd"/>
          </w:p>
        </w:tc>
        <w:tc>
          <w:tcPr>
            <w:tcW w:w="7626" w:type="dxa"/>
          </w:tcPr>
          <w:p w14:paraId="1E386C9A" w14:textId="29385CF7" w:rsidR="00CA73BC" w:rsidRPr="00D0404B" w:rsidRDefault="00764F4B" w:rsidP="00300AA4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«</w:t>
            </w:r>
            <w:r w:rsidR="00674F16" w:rsidRPr="00674F16">
              <w:rPr>
                <w:bCs/>
                <w:iCs/>
              </w:rPr>
              <w:t>Прогнозирование национальной экономики</w:t>
            </w:r>
            <w:r>
              <w:rPr>
                <w:bCs/>
                <w:iCs/>
              </w:rPr>
              <w:t>»</w:t>
            </w:r>
          </w:p>
        </w:tc>
      </w:tr>
      <w:tr w:rsidR="00CA73BC" w:rsidRPr="00D0404B" w14:paraId="424AA02A" w14:textId="77777777" w:rsidTr="00CE0C50">
        <w:tc>
          <w:tcPr>
            <w:tcW w:w="2830" w:type="dxa"/>
          </w:tcPr>
          <w:p w14:paraId="3CCEB67C" w14:textId="77777777" w:rsidR="00CA73BC" w:rsidRPr="00D0404B" w:rsidRDefault="00CA73BC" w:rsidP="00300AA4">
            <w:pPr>
              <w:pStyle w:val="Default"/>
            </w:pPr>
            <w:r w:rsidRPr="00D0404B">
              <w:t>Трудоёмкость в зачетных единицах (кредитах).</w:t>
            </w:r>
          </w:p>
          <w:p w14:paraId="613B858B" w14:textId="77777777" w:rsidR="00CA73BC" w:rsidRPr="00D0404B" w:rsidRDefault="00CA73BC" w:rsidP="00300AA4">
            <w:pPr>
              <w:pStyle w:val="Default"/>
            </w:pPr>
            <w:r w:rsidRPr="00D0404B">
              <w:t xml:space="preserve">Количество часов </w:t>
            </w:r>
          </w:p>
        </w:tc>
        <w:tc>
          <w:tcPr>
            <w:tcW w:w="7626" w:type="dxa"/>
          </w:tcPr>
          <w:p w14:paraId="437EFED0" w14:textId="2464BE29" w:rsidR="00CA73BC" w:rsidRPr="00D0404B" w:rsidRDefault="00674F16" w:rsidP="00300AA4">
            <w:pPr>
              <w:pStyle w:val="Default"/>
            </w:pPr>
            <w:r>
              <w:t>4</w:t>
            </w:r>
            <w:r w:rsidR="00CA73BC" w:rsidRPr="00D0404B">
              <w:t xml:space="preserve"> зачетных единиц. </w:t>
            </w:r>
          </w:p>
          <w:p w14:paraId="7A0238D1" w14:textId="5AFCA13B" w:rsidR="00CA73BC" w:rsidRPr="00D0404B" w:rsidRDefault="00CA73BC" w:rsidP="00300AA4">
            <w:pPr>
              <w:pStyle w:val="Default"/>
            </w:pPr>
            <w:r w:rsidRPr="00D0404B">
              <w:t xml:space="preserve">Всего часов – </w:t>
            </w:r>
            <w:r w:rsidR="00764F4B">
              <w:t>1</w:t>
            </w:r>
            <w:r w:rsidR="00674F16">
              <w:t>44</w:t>
            </w:r>
            <w:r w:rsidRPr="00D0404B">
              <w:t>, из них: аудиторных часов</w:t>
            </w:r>
            <w:r w:rsidR="00177446">
              <w:t xml:space="preserve"> </w:t>
            </w:r>
            <w:r w:rsidRPr="00D0404B">
              <w:t xml:space="preserve">- </w:t>
            </w:r>
            <w:r w:rsidR="00674F16">
              <w:t>48</w:t>
            </w:r>
            <w:r w:rsidRPr="00D0404B">
              <w:t xml:space="preserve">, часов самостоятельной работы – </w:t>
            </w:r>
            <w:r w:rsidR="00897EDC">
              <w:t>нет</w:t>
            </w:r>
          </w:p>
        </w:tc>
      </w:tr>
      <w:tr w:rsidR="00CA73BC" w:rsidRPr="00D0404B" w14:paraId="61A67F0E" w14:textId="77777777" w:rsidTr="00CE0C50">
        <w:tc>
          <w:tcPr>
            <w:tcW w:w="2830" w:type="dxa"/>
          </w:tcPr>
          <w:p w14:paraId="43EF3703" w14:textId="77777777" w:rsidR="00CA73BC" w:rsidRPr="00D0404B" w:rsidRDefault="00CA73BC" w:rsidP="00300AA4">
            <w:pPr>
              <w:pStyle w:val="Default"/>
            </w:pPr>
            <w:r w:rsidRPr="00D0404B">
              <w:t>Требования к текущей аттестации, ее формы</w:t>
            </w:r>
          </w:p>
        </w:tc>
        <w:tc>
          <w:tcPr>
            <w:tcW w:w="7626" w:type="dxa"/>
          </w:tcPr>
          <w:p w14:paraId="4B1E3A11" w14:textId="77777777" w:rsidR="00CA73BC" w:rsidRPr="00D0404B" w:rsidRDefault="00CA73BC" w:rsidP="00300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CA73BC" w:rsidRPr="00D0404B" w14:paraId="2514FAA7" w14:textId="77777777" w:rsidTr="00CE0C50">
        <w:tc>
          <w:tcPr>
            <w:tcW w:w="2830" w:type="dxa"/>
          </w:tcPr>
          <w:p w14:paraId="4B6536F8" w14:textId="77777777" w:rsidR="00CA73BC" w:rsidRPr="00D0404B" w:rsidRDefault="00CA73BC" w:rsidP="00300AA4">
            <w:pPr>
              <w:pStyle w:val="Default"/>
            </w:pPr>
            <w:r w:rsidRPr="00D0404B">
              <w:t>Требования к промежуточной аттестации, ее формы</w:t>
            </w:r>
          </w:p>
        </w:tc>
        <w:tc>
          <w:tcPr>
            <w:tcW w:w="7626" w:type="dxa"/>
          </w:tcPr>
          <w:p w14:paraId="04FA9DBE" w14:textId="77777777" w:rsidR="00CA73BC" w:rsidRPr="00D0404B" w:rsidRDefault="00CA73BC" w:rsidP="00300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14:paraId="1D8226BE" w14:textId="77777777" w:rsidR="00CA73BC" w:rsidRPr="00D0404B" w:rsidRDefault="00CA73BC" w:rsidP="00764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04B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 экзамена по учебной дисциплине при условии успешного прохождения текущей аттестации.</w:t>
            </w:r>
          </w:p>
        </w:tc>
      </w:tr>
    </w:tbl>
    <w:p w14:paraId="68226C7B" w14:textId="725329B9" w:rsidR="00A01275" w:rsidRDefault="00A01275" w:rsidP="00A01275"/>
    <w:sectPr w:rsidR="00A01275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613E5"/>
    <w:multiLevelType w:val="hybridMultilevel"/>
    <w:tmpl w:val="E848B836"/>
    <w:lvl w:ilvl="0" w:tplc="BD920A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8637E94"/>
    <w:multiLevelType w:val="hybridMultilevel"/>
    <w:tmpl w:val="8CFC0FF6"/>
    <w:lvl w:ilvl="0" w:tplc="BD920A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BC"/>
    <w:rsid w:val="00056494"/>
    <w:rsid w:val="000C147C"/>
    <w:rsid w:val="00177446"/>
    <w:rsid w:val="00186AE2"/>
    <w:rsid w:val="00206F19"/>
    <w:rsid w:val="00213AD5"/>
    <w:rsid w:val="00215F6B"/>
    <w:rsid w:val="00251FF2"/>
    <w:rsid w:val="002C29B1"/>
    <w:rsid w:val="002E1EE1"/>
    <w:rsid w:val="002E5B51"/>
    <w:rsid w:val="00325987"/>
    <w:rsid w:val="00347C64"/>
    <w:rsid w:val="00385684"/>
    <w:rsid w:val="00422E18"/>
    <w:rsid w:val="004337AB"/>
    <w:rsid w:val="004526B2"/>
    <w:rsid w:val="00494229"/>
    <w:rsid w:val="004F309B"/>
    <w:rsid w:val="0052222D"/>
    <w:rsid w:val="00674F16"/>
    <w:rsid w:val="006C204C"/>
    <w:rsid w:val="00736119"/>
    <w:rsid w:val="00764F4B"/>
    <w:rsid w:val="007B433F"/>
    <w:rsid w:val="008129D1"/>
    <w:rsid w:val="00874256"/>
    <w:rsid w:val="00897EDC"/>
    <w:rsid w:val="008A2C64"/>
    <w:rsid w:val="0092310E"/>
    <w:rsid w:val="00973679"/>
    <w:rsid w:val="00A01275"/>
    <w:rsid w:val="00A34B8D"/>
    <w:rsid w:val="00AB1843"/>
    <w:rsid w:val="00B4645D"/>
    <w:rsid w:val="00B53002"/>
    <w:rsid w:val="00B83E29"/>
    <w:rsid w:val="00BB03C4"/>
    <w:rsid w:val="00BB7238"/>
    <w:rsid w:val="00BD159C"/>
    <w:rsid w:val="00C21E78"/>
    <w:rsid w:val="00CA73BC"/>
    <w:rsid w:val="00CD73BC"/>
    <w:rsid w:val="00CE0C50"/>
    <w:rsid w:val="00D0404B"/>
    <w:rsid w:val="00D05813"/>
    <w:rsid w:val="00D822A8"/>
    <w:rsid w:val="00DE36A9"/>
    <w:rsid w:val="00E72529"/>
    <w:rsid w:val="00E91222"/>
    <w:rsid w:val="00EB7091"/>
    <w:rsid w:val="00EF1170"/>
    <w:rsid w:val="00F14861"/>
    <w:rsid w:val="00F27B6C"/>
    <w:rsid w:val="00F70190"/>
    <w:rsid w:val="00F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9E78"/>
  <w15:docId w15:val="{7CF1BE79-9AD1-42FA-90B9-B926C04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k56</dc:creator>
  <cp:lastModifiedBy>Vitali Daroshka</cp:lastModifiedBy>
  <cp:revision>2</cp:revision>
  <cp:lastPrinted>2024-06-24T13:02:00Z</cp:lastPrinted>
  <dcterms:created xsi:type="dcterms:W3CDTF">2026-02-22T05:51:00Z</dcterms:created>
  <dcterms:modified xsi:type="dcterms:W3CDTF">2026-02-22T05:51:00Z</dcterms:modified>
</cp:coreProperties>
</file>